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C4" w:rsidRPr="00BE2AC3" w:rsidRDefault="00FC69C4" w:rsidP="00BE2AC3">
      <w:pPr>
        <w:pStyle w:val="Default"/>
        <w:pageBreakBefore/>
        <w:spacing w:line="360" w:lineRule="auto"/>
        <w:jc w:val="center"/>
        <w:rPr>
          <w:rFonts w:ascii="Arial" w:hAnsi="Arial" w:cs="Arial"/>
          <w:b/>
          <w:color w:val="auto"/>
          <w:sz w:val="52"/>
          <w:szCs w:val="52"/>
        </w:rPr>
      </w:pPr>
      <w:r w:rsidRPr="00BE2AC3">
        <w:rPr>
          <w:rFonts w:ascii="Arial" w:eastAsia="宋体" w:hAnsi="Arial" w:cs="Arial"/>
          <w:b/>
          <w:color w:val="auto"/>
          <w:sz w:val="52"/>
          <w:szCs w:val="52"/>
        </w:rPr>
        <w:t>实验室基本操作规范</w:t>
      </w:r>
    </w:p>
    <w:p w:rsidR="00FC69C4" w:rsidRPr="006C7A2D" w:rsidRDefault="00FC69C4" w:rsidP="00BE2AC3">
      <w:pPr>
        <w:pStyle w:val="Default"/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一、进入实验室的规定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在处理危险度二级或更高危险度级别的微生物时，在实验室门上应标有国际通用的生物危害警告标志；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只有经批准的人员方可进入实验室工作区域；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实验室的门应保持关闭；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儿童不应被批准或允许进入实验室工作区域；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进入动物</w:t>
      </w:r>
      <w:proofErr w:type="gramStart"/>
      <w:r w:rsidRPr="006C7A2D">
        <w:rPr>
          <w:rFonts w:ascii="Arial" w:eastAsia="宋体" w:hAnsi="Arial" w:cs="Arial"/>
          <w:color w:val="auto"/>
        </w:rPr>
        <w:t>房应当</w:t>
      </w:r>
      <w:proofErr w:type="gramEnd"/>
      <w:r w:rsidRPr="006C7A2D">
        <w:rPr>
          <w:rFonts w:ascii="Arial" w:eastAsia="宋体" w:hAnsi="Arial" w:cs="Arial"/>
          <w:color w:val="auto"/>
        </w:rPr>
        <w:t>经过特别批准；</w:t>
      </w:r>
    </w:p>
    <w:p w:rsidR="00FC69C4" w:rsidRPr="006C7A2D" w:rsidRDefault="00FC69C4" w:rsidP="00BE2AC3">
      <w:pPr>
        <w:pStyle w:val="Default"/>
        <w:numPr>
          <w:ilvl w:val="0"/>
          <w:numId w:val="2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与实验室工作无关的动物不得带入实验室。</w:t>
      </w:r>
    </w:p>
    <w:p w:rsidR="00FC69C4" w:rsidRPr="006C7A2D" w:rsidRDefault="00FC69C4" w:rsidP="00BE2AC3">
      <w:pPr>
        <w:pStyle w:val="Default"/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二、人员防护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在实验室工作时，任何时候都必须穿着工作服；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在进行可能直接或意外接触到血液、体液以及其他具有潜在感染性的材料或感染性动物的操作时，应戴上合适的手套。手套用完后，应先消毒再摘除，随后必须洗手；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在处理完感染性实验材料和动物后，在离开实验室工作区域前，都必须洗手；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为了防止眼睛或面部受到泼溅物、碰撞物或人工紫外线辐射的伤害，必须戴安全眼镜、面罩（面具）或其他防护设备；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严禁穿着实验室防护服和手套离开实验室（如去餐厅、咖啡厅、办公室、图书馆、休息室和卫生间等非实验区及公共场所）；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不得在实验室内穿露脚趾的鞋子；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禁止在实验室工作区域进食、饮水、吸烟、化妆和处理隐形眼镜；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禁止在实验室工作区域储存食品和饮料；</w:t>
      </w:r>
    </w:p>
    <w:p w:rsidR="00FC69C4" w:rsidRPr="006C7A2D" w:rsidRDefault="00FC69C4" w:rsidP="00BE2AC3">
      <w:pPr>
        <w:pStyle w:val="Default"/>
        <w:numPr>
          <w:ilvl w:val="0"/>
          <w:numId w:val="4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在实验室内用过的防护</w:t>
      </w:r>
      <w:proofErr w:type="gramStart"/>
      <w:r w:rsidRPr="006C7A2D">
        <w:rPr>
          <w:rFonts w:ascii="Arial" w:eastAsia="宋体" w:hAnsi="Arial" w:cs="Arial"/>
          <w:color w:val="auto"/>
        </w:rPr>
        <w:t>服不得</w:t>
      </w:r>
      <w:proofErr w:type="gramEnd"/>
      <w:r w:rsidRPr="006C7A2D">
        <w:rPr>
          <w:rFonts w:ascii="Arial" w:eastAsia="宋体" w:hAnsi="Arial" w:cs="Arial"/>
          <w:color w:val="auto"/>
        </w:rPr>
        <w:t>和日常服装放在同一柜子内。</w:t>
      </w:r>
    </w:p>
    <w:p w:rsidR="00FC69C4" w:rsidRPr="006C7A2D" w:rsidRDefault="00FC69C4" w:rsidP="00BE2AC3">
      <w:pPr>
        <w:pStyle w:val="Default"/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三、操作规范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lastRenderedPageBreak/>
        <w:t>严禁用口吸移液管；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严禁将实验材料置于口内；严禁</w:t>
      </w:r>
      <w:proofErr w:type="gramStart"/>
      <w:r w:rsidRPr="006C7A2D">
        <w:rPr>
          <w:rFonts w:ascii="Arial" w:eastAsia="宋体" w:hAnsi="Arial" w:cs="Arial"/>
          <w:color w:val="auto"/>
        </w:rPr>
        <w:t>舔</w:t>
      </w:r>
      <w:proofErr w:type="gramEnd"/>
      <w:r w:rsidRPr="006C7A2D">
        <w:rPr>
          <w:rFonts w:ascii="Arial" w:eastAsia="宋体" w:hAnsi="Arial" w:cs="Arial"/>
          <w:color w:val="auto"/>
        </w:rPr>
        <w:t>标签；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所有的技术操作要按尽量减少气溶胶和微小液滴形成的方式来进行；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应限制使用皮下注射针头和注射器。除了进行肠道外注射或抽取实验动物体液，皮下注射针头和注射器不能用于替代移液管或用作其他用途；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出现溢出、事故以及可能暴露于感染性物质时，必须向实验室主管报告，并向有关部门提交书面报告；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必须制订关于如何处理溢出物的书面操作程序，并予以遵守执行；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after="130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废液或污染的液体应有专门的回收和处理措施；</w:t>
      </w:r>
    </w:p>
    <w:p w:rsidR="00FC69C4" w:rsidRPr="006C7A2D" w:rsidRDefault="00FC69C4" w:rsidP="00BE2AC3">
      <w:pPr>
        <w:pStyle w:val="Default"/>
        <w:numPr>
          <w:ilvl w:val="0"/>
          <w:numId w:val="6"/>
        </w:numPr>
        <w:spacing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需要带出实验室的手写文件必须保证在实验室内没有受到污染。</w:t>
      </w:r>
    </w:p>
    <w:p w:rsidR="00FC69C4" w:rsidRPr="006C7A2D" w:rsidRDefault="00FC69C4" w:rsidP="00BE2AC3">
      <w:pPr>
        <w:pStyle w:val="Default"/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四、实验室工作区</w:t>
      </w:r>
    </w:p>
    <w:p w:rsidR="00FC69C4" w:rsidRPr="006C7A2D" w:rsidRDefault="00FC69C4" w:rsidP="00BE2AC3">
      <w:pPr>
        <w:pStyle w:val="Default"/>
        <w:numPr>
          <w:ilvl w:val="0"/>
          <w:numId w:val="8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实验室应保持清洁整齐，严禁摆放与实验无关的物品；</w:t>
      </w:r>
    </w:p>
    <w:p w:rsidR="00FC69C4" w:rsidRPr="006C7A2D" w:rsidRDefault="00FC69C4" w:rsidP="00BE2AC3">
      <w:pPr>
        <w:pStyle w:val="Default"/>
        <w:numPr>
          <w:ilvl w:val="0"/>
          <w:numId w:val="8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发生具有潜在危害性的材料溢出以及在每天工作结束之后，都必须清除工作台面的污染；</w:t>
      </w:r>
    </w:p>
    <w:p w:rsidR="00FC69C4" w:rsidRPr="006C7A2D" w:rsidRDefault="00FC69C4" w:rsidP="00BE2AC3">
      <w:pPr>
        <w:pStyle w:val="Default"/>
        <w:numPr>
          <w:ilvl w:val="0"/>
          <w:numId w:val="8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所有受到污染的材料、标本和培养物在废弃或清洁再利用之前，必须清除；</w:t>
      </w:r>
    </w:p>
    <w:p w:rsidR="00FC69C4" w:rsidRPr="006C7A2D" w:rsidRDefault="00FC69C4" w:rsidP="00BE2AC3">
      <w:pPr>
        <w:pStyle w:val="Default"/>
        <w:numPr>
          <w:ilvl w:val="0"/>
          <w:numId w:val="8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在进行包装和运输时必须遵循国家、国际的相关规定。</w:t>
      </w:r>
    </w:p>
    <w:p w:rsidR="00FC69C4" w:rsidRPr="006C7A2D" w:rsidRDefault="00FC69C4" w:rsidP="00BE2AC3">
      <w:pPr>
        <w:pStyle w:val="Default"/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五、生物安全管理</w:t>
      </w:r>
    </w:p>
    <w:p w:rsidR="00FC69C4" w:rsidRPr="006C7A2D" w:rsidRDefault="00FC69C4" w:rsidP="00BE2AC3">
      <w:pPr>
        <w:pStyle w:val="Default"/>
        <w:numPr>
          <w:ilvl w:val="0"/>
          <w:numId w:val="10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实验室负责人（</w:t>
      </w:r>
      <w:r w:rsidRPr="006C7A2D">
        <w:rPr>
          <w:rFonts w:ascii="Arial" w:eastAsia="宋体" w:hAnsi="Arial" w:cs="Arial"/>
          <w:color w:val="auto"/>
        </w:rPr>
        <w:t>PI</w:t>
      </w:r>
      <w:r w:rsidRPr="006C7A2D">
        <w:rPr>
          <w:rFonts w:ascii="Arial" w:eastAsia="宋体" w:hAnsi="Arial" w:cs="Arial"/>
          <w:color w:val="auto"/>
        </w:rPr>
        <w:t>）负责制订和采用生物安全管理计划，以及安全或操作手册，确保所有实验室人员都了解相关规章制度，并对实验室安全负责；</w:t>
      </w:r>
    </w:p>
    <w:p w:rsidR="00FC69C4" w:rsidRPr="006C7A2D" w:rsidRDefault="00FC69C4" w:rsidP="00BE2AC3">
      <w:pPr>
        <w:pStyle w:val="Default"/>
        <w:numPr>
          <w:ilvl w:val="0"/>
          <w:numId w:val="10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实验室安全管理员应当将生物安全实验室的</w:t>
      </w:r>
      <w:proofErr w:type="gramStart"/>
      <w:r w:rsidRPr="006C7A2D">
        <w:rPr>
          <w:rFonts w:ascii="Arial" w:eastAsia="宋体" w:hAnsi="Arial" w:cs="Arial"/>
          <w:color w:val="auto"/>
        </w:rPr>
        <w:t>特殊危害</w:t>
      </w:r>
      <w:proofErr w:type="gramEnd"/>
      <w:r w:rsidRPr="006C7A2D">
        <w:rPr>
          <w:rFonts w:ascii="Arial" w:eastAsia="宋体" w:hAnsi="Arial" w:cs="Arial"/>
          <w:color w:val="auto"/>
        </w:rPr>
        <w:t>告知实验室人员，同时要求他们阅读生物安全或操作手册；保证提供常规的实验室安全培训，并督促所有实验室人员严格遵守生物安全相关的标准操作和规程；</w:t>
      </w:r>
    </w:p>
    <w:p w:rsidR="00FC69C4" w:rsidRPr="006C7A2D" w:rsidRDefault="00FC69C4" w:rsidP="00BE2AC3">
      <w:pPr>
        <w:pStyle w:val="Default"/>
        <w:numPr>
          <w:ilvl w:val="0"/>
          <w:numId w:val="10"/>
        </w:numPr>
        <w:spacing w:after="128" w:line="360" w:lineRule="auto"/>
        <w:rPr>
          <w:rFonts w:ascii="Arial" w:eastAsia="宋体" w:hAnsi="Arial" w:cs="Arial"/>
          <w:color w:val="auto"/>
        </w:rPr>
      </w:pPr>
      <w:r w:rsidRPr="006C7A2D">
        <w:rPr>
          <w:rFonts w:ascii="Arial" w:eastAsia="宋体" w:hAnsi="Arial" w:cs="Arial"/>
          <w:color w:val="auto"/>
        </w:rPr>
        <w:t>实验室内应备有可供取阅的安全或操作手册；</w:t>
      </w:r>
    </w:p>
    <w:p w:rsidR="00485828" w:rsidRPr="006C7A2D" w:rsidRDefault="00FC69C4" w:rsidP="00521DC8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 w:rsidRPr="006C7A2D">
        <w:rPr>
          <w:rFonts w:ascii="Arial" w:eastAsia="宋体" w:hAnsi="Arial" w:cs="Arial"/>
          <w:color w:val="auto"/>
        </w:rPr>
        <w:t>特殊实验（如同位素实验）必须在规定的实验室进行，不得擅自在普通实验室进行。</w:t>
      </w:r>
      <w:bookmarkStart w:id="0" w:name="_GoBack"/>
      <w:bookmarkEnd w:id="0"/>
    </w:p>
    <w:sectPr w:rsidR="00485828" w:rsidRPr="006C7A2D" w:rsidSect="004C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F034A"/>
    <w:multiLevelType w:val="hybridMultilevel"/>
    <w:tmpl w:val="1CEC065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801C0E"/>
    <w:multiLevelType w:val="hybridMultilevel"/>
    <w:tmpl w:val="31AE55D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3A2A41"/>
    <w:multiLevelType w:val="hybridMultilevel"/>
    <w:tmpl w:val="8ED617D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8D37B6"/>
    <w:multiLevelType w:val="hybridMultilevel"/>
    <w:tmpl w:val="FAA416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7D7968"/>
    <w:multiLevelType w:val="hybridMultilevel"/>
    <w:tmpl w:val="AB36D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7941FE"/>
    <w:multiLevelType w:val="hybridMultilevel"/>
    <w:tmpl w:val="035E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BA2A6D"/>
    <w:multiLevelType w:val="hybridMultilevel"/>
    <w:tmpl w:val="BE50AF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B6402D"/>
    <w:multiLevelType w:val="hybridMultilevel"/>
    <w:tmpl w:val="D64846E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9DA3AD7"/>
    <w:multiLevelType w:val="hybridMultilevel"/>
    <w:tmpl w:val="0908DC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F07DD6"/>
    <w:multiLevelType w:val="hybridMultilevel"/>
    <w:tmpl w:val="819CAE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69C4"/>
    <w:rsid w:val="00042C8A"/>
    <w:rsid w:val="004C3CFA"/>
    <w:rsid w:val="006C7A2D"/>
    <w:rsid w:val="00A655FA"/>
    <w:rsid w:val="00BE2AC3"/>
    <w:rsid w:val="00FC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8D537-C9D6-493F-9DB7-51EDF5D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69C4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zhulab</dc:creator>
  <cp:lastModifiedBy>hp</cp:lastModifiedBy>
  <cp:revision>3</cp:revision>
  <dcterms:created xsi:type="dcterms:W3CDTF">2016-12-08T02:17:00Z</dcterms:created>
  <dcterms:modified xsi:type="dcterms:W3CDTF">2016-12-08T06:25:00Z</dcterms:modified>
</cp:coreProperties>
</file>